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39" w:rsidRDefault="00DB213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8"/>
        </w:tabs>
        <w:ind w:right="648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 w:line="240" w:lineRule="auto"/>
        <w:jc w:val="center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ПОЛОЖЕНИЕ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 w:line="240" w:lineRule="auto"/>
        <w:jc w:val="center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о Первенстве Республики Саха (Якутия) 20</w:t>
      </w:r>
      <w:r w:rsidR="00575446">
        <w:rPr>
          <w:rFonts w:ascii="Arial" w:eastAsia="Arial" w:hAnsi="Arial" w:cs="Arial"/>
          <w:b/>
          <w:color w:val="00000A"/>
          <w:sz w:val="24"/>
          <w:szCs w:val="24"/>
        </w:rPr>
        <w:t>22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года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 w:line="240" w:lineRule="auto"/>
        <w:jc w:val="center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по быстрым шахматам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 w:line="240" w:lineRule="auto"/>
        <w:jc w:val="center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среди юношей и девушек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 w:line="240" w:lineRule="auto"/>
        <w:jc w:val="center"/>
        <w:rPr>
          <w:rFonts w:ascii="Arial" w:eastAsia="Arial" w:hAnsi="Arial" w:cs="Arial"/>
          <w:color w:val="00000A"/>
          <w:sz w:val="32"/>
          <w:szCs w:val="32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 в возрастных группах до 11, 13, 15, 17, 19 лет</w:t>
      </w:r>
      <w:r>
        <w:rPr>
          <w:rFonts w:ascii="Arial" w:eastAsia="Arial" w:hAnsi="Arial" w:cs="Arial"/>
          <w:color w:val="00000A"/>
          <w:sz w:val="32"/>
          <w:szCs w:val="32"/>
        </w:rPr>
        <w:t xml:space="preserve"> </w:t>
      </w:r>
    </w:p>
    <w:p w:rsidR="0017400E" w:rsidRDefault="0017400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5040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5040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 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I. Цель и задачи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Первенство проводится в целях пропаганды и развития шахмат среди школьников, стимулирования повышения интеллектуальных и творческих способностей детей и подростков.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Основные задачи: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повышение интереса учащихся к регулярным занятиям шахматами, формирование потребности к творческому самовыражению через шахматы;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 создание условий для раскрытия и реализации способностей учащихся, повышение мотивации труда учителей, тренеров-преподавателей,  руководителей шахматных кружков и секций;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повышение спортивного мастерства юных шахматистов. 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           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II. Сроки и место проведения 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Соревнование проводится в Республиканском шахматн</w:t>
      </w:r>
      <w:proofErr w:type="gramStart"/>
      <w:r>
        <w:rPr>
          <w:rFonts w:ascii="Arial" w:eastAsia="Arial" w:hAnsi="Arial" w:cs="Arial"/>
          <w:color w:val="00000A"/>
          <w:sz w:val="24"/>
          <w:szCs w:val="24"/>
        </w:rPr>
        <w:t>о-</w:t>
      </w:r>
      <w:proofErr w:type="gramEnd"/>
      <w:r>
        <w:rPr>
          <w:rFonts w:ascii="Arial" w:eastAsia="Arial" w:hAnsi="Arial" w:cs="Arial"/>
          <w:color w:val="00000A"/>
          <w:sz w:val="24"/>
          <w:szCs w:val="24"/>
        </w:rPr>
        <w:t xml:space="preserve"> шашечном центре (РШШЦ), по адресу: ул. Ярославского, 19/2, г. Якутск.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Сроки: </w:t>
      </w:r>
      <w:r w:rsidR="00CF6BC4">
        <w:rPr>
          <w:rFonts w:ascii="Arial" w:eastAsia="Arial" w:hAnsi="Arial" w:cs="Arial"/>
          <w:color w:val="00000A"/>
          <w:sz w:val="24"/>
          <w:szCs w:val="24"/>
        </w:rPr>
        <w:t>__ сентябрь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(день приезда) по </w:t>
      </w:r>
      <w:r w:rsidR="00CF6BC4">
        <w:rPr>
          <w:rFonts w:ascii="Arial" w:eastAsia="Arial" w:hAnsi="Arial" w:cs="Arial"/>
          <w:color w:val="00000A"/>
          <w:sz w:val="24"/>
          <w:szCs w:val="24"/>
        </w:rPr>
        <w:t>__ сентябрь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(день отъезда) 20</w:t>
      </w:r>
      <w:r w:rsidR="00CF6BC4">
        <w:rPr>
          <w:rFonts w:ascii="Arial" w:eastAsia="Arial" w:hAnsi="Arial" w:cs="Arial"/>
          <w:color w:val="00000A"/>
          <w:sz w:val="24"/>
          <w:szCs w:val="24"/>
        </w:rPr>
        <w:t>22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г.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Игровые дни: </w:t>
      </w:r>
      <w:r w:rsidR="00CF6BC4">
        <w:rPr>
          <w:rFonts w:ascii="Arial" w:eastAsia="Arial" w:hAnsi="Arial" w:cs="Arial"/>
          <w:color w:val="00000A"/>
          <w:sz w:val="24"/>
          <w:szCs w:val="24"/>
        </w:rPr>
        <w:t>____ сентября.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III. Участники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В соревнованиях участвуют шахматисты РС (Я) в следующих возрастных группах: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1-я группа – до 11 лет (20</w:t>
      </w:r>
      <w:r w:rsidR="00CF6BC4">
        <w:rPr>
          <w:rFonts w:ascii="Arial" w:eastAsia="Arial" w:hAnsi="Arial" w:cs="Arial"/>
          <w:b/>
          <w:color w:val="00000A"/>
          <w:sz w:val="24"/>
          <w:szCs w:val="24"/>
        </w:rPr>
        <w:t>13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г.р. и моложе);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2-я группа – до 13 лет (20</w:t>
      </w:r>
      <w:r w:rsidR="00CF6BC4">
        <w:rPr>
          <w:rFonts w:ascii="Arial" w:eastAsia="Arial" w:hAnsi="Arial" w:cs="Arial"/>
          <w:b/>
          <w:color w:val="00000A"/>
          <w:sz w:val="24"/>
          <w:szCs w:val="24"/>
        </w:rPr>
        <w:t>11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- 20</w:t>
      </w:r>
      <w:r w:rsidR="00CF6BC4">
        <w:rPr>
          <w:rFonts w:ascii="Arial" w:eastAsia="Arial" w:hAnsi="Arial" w:cs="Arial"/>
          <w:b/>
          <w:color w:val="00000A"/>
          <w:sz w:val="24"/>
          <w:szCs w:val="24"/>
        </w:rPr>
        <w:t>12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г.р. и моложе);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3-я группа – до 15 лет (20</w:t>
      </w:r>
      <w:r w:rsidR="00CF6BC4">
        <w:rPr>
          <w:rFonts w:ascii="Arial" w:eastAsia="Arial" w:hAnsi="Arial" w:cs="Arial"/>
          <w:b/>
          <w:color w:val="00000A"/>
          <w:sz w:val="24"/>
          <w:szCs w:val="24"/>
        </w:rPr>
        <w:t>09 - 2010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г.р. и моложе);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4-я группа – до 17 лет (200</w:t>
      </w:r>
      <w:r w:rsidR="00CF6BC4">
        <w:rPr>
          <w:rFonts w:ascii="Arial" w:eastAsia="Arial" w:hAnsi="Arial" w:cs="Arial"/>
          <w:b/>
          <w:color w:val="00000A"/>
          <w:sz w:val="24"/>
          <w:szCs w:val="24"/>
        </w:rPr>
        <w:t>7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- 200</w:t>
      </w:r>
      <w:r w:rsidR="00CF6BC4">
        <w:rPr>
          <w:rFonts w:ascii="Arial" w:eastAsia="Arial" w:hAnsi="Arial" w:cs="Arial"/>
          <w:b/>
          <w:color w:val="00000A"/>
          <w:sz w:val="24"/>
          <w:szCs w:val="24"/>
        </w:rPr>
        <w:t>8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г.р. и моложе);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5-я группа – до 19 лет (200</w:t>
      </w:r>
      <w:r w:rsidR="00CF6BC4">
        <w:rPr>
          <w:rFonts w:ascii="Arial" w:eastAsia="Arial" w:hAnsi="Arial" w:cs="Arial"/>
          <w:b/>
          <w:color w:val="00000A"/>
          <w:sz w:val="24"/>
          <w:szCs w:val="24"/>
        </w:rPr>
        <w:t>5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- 200</w:t>
      </w:r>
      <w:r w:rsidR="00CF6BC4">
        <w:rPr>
          <w:rFonts w:ascii="Arial" w:eastAsia="Arial" w:hAnsi="Arial" w:cs="Arial"/>
          <w:b/>
          <w:color w:val="00000A"/>
          <w:sz w:val="24"/>
          <w:szCs w:val="24"/>
        </w:rPr>
        <w:t>6</w:t>
      </w: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г.р. и моложе).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IV. Руководство </w:t>
      </w:r>
    </w:p>
    <w:p w:rsidR="00DB2139" w:rsidRDefault="007349E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8"/>
          <w:tab w:val="left" w:pos="709"/>
        </w:tabs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ab/>
        <w:t>Общее руководство подготовкой и проведением Первенства возлагается на РОО “Федерация Шахмат Республики Саха (Якутия)”. Техническое обеспечение возлагается на РШШЦ.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Непосредственное проведение Первенства возлагается на судейскую коллегию, утвержденную оргкомитетом по представлению РОО “Федерация Шахмат Республики Саха (Якутия)”.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lastRenderedPageBreak/>
        <w:t>         V. Условия приема участников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Проездные расходы, проживание и питание участников, тренеров-представителей несут командирующие организации.</w:t>
      </w:r>
    </w:p>
    <w:p w:rsidR="00DB2139" w:rsidRDefault="007349E0">
      <w:pP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Участники оплачивают организационный взнос 500 руб.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A"/>
          <w:sz w:val="24"/>
          <w:szCs w:val="24"/>
        </w:rPr>
        <w:t>Расходы по обеспечению наградной атрибутикой (медали, грамоты) несет РОО “Федерация Шахмат Республики Саха (Якутия)”.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VI. Регламент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Турниры в каждой возрастной группе проводятся раздельно среди юношей и девушек по швейцарской системе в 9 туров. При малом числе участников турниры могут быть проведены по круговой системе или смежные по возрасту группы могут быть объединены. Распределение пар игроков – по программе «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Swiss-Manager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>».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Соревнование проводится по Правилам вида спорта «шахматы», утвержденным приказом Министерства спорта России и не противоречащим Правилам игры в шахматы ФИДЕ.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8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Контроль времени – 15 мин. на партию с добавлением 10 сек. за каждый сделанный ход,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A"/>
          <w:sz w:val="24"/>
          <w:szCs w:val="24"/>
        </w:rPr>
        <w:t>начиная с первого, каждому участнику при электронных часах. И по 25 минут на всю партию при механических часах.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ab/>
      </w:r>
      <w:r>
        <w:rPr>
          <w:rFonts w:ascii="Arial" w:eastAsia="Arial" w:hAnsi="Arial" w:cs="Arial"/>
          <w:b/>
          <w:color w:val="00000A"/>
          <w:sz w:val="24"/>
          <w:szCs w:val="24"/>
        </w:rPr>
        <w:t>VII. Определение победителей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Победители в личном зачете определяются по наибольшей сумме набранных очков.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При равенстве очков у двух участников</w:t>
      </w:r>
      <w:r>
        <w:rPr>
          <w:rFonts w:ascii="Arial" w:eastAsia="Arial" w:hAnsi="Arial" w:cs="Arial"/>
          <w:color w:val="00000A"/>
          <w:sz w:val="24"/>
          <w:szCs w:val="24"/>
        </w:rPr>
        <w:t>, места определяются последовательно: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по результату личной встречи;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по коэффициенту «</w:t>
      </w:r>
      <w:proofErr w:type="gramStart"/>
      <w:r>
        <w:rPr>
          <w:rFonts w:ascii="Arial" w:eastAsia="Arial" w:hAnsi="Arial" w:cs="Arial"/>
          <w:color w:val="00000A"/>
          <w:sz w:val="24"/>
          <w:szCs w:val="24"/>
        </w:rPr>
        <w:t>усеченный</w:t>
      </w:r>
      <w:proofErr w:type="gramEnd"/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Бухгольц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>» (без учета одного худшего результата, двух, и т. д.);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- по коэффициенту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Бухгольца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 xml:space="preserve"> (компьютерная версия), при круговом турнире коэффициент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Бергера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При равенстве очков у более двух участников</w:t>
      </w:r>
      <w:r>
        <w:rPr>
          <w:rFonts w:ascii="Arial" w:eastAsia="Arial" w:hAnsi="Arial" w:cs="Arial"/>
          <w:color w:val="00000A"/>
          <w:sz w:val="24"/>
          <w:szCs w:val="24"/>
        </w:rPr>
        <w:t>, места определяются последовательно: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по коэффициенту «</w:t>
      </w:r>
      <w:proofErr w:type="gramStart"/>
      <w:r>
        <w:rPr>
          <w:rFonts w:ascii="Arial" w:eastAsia="Arial" w:hAnsi="Arial" w:cs="Arial"/>
          <w:color w:val="00000A"/>
          <w:sz w:val="24"/>
          <w:szCs w:val="24"/>
        </w:rPr>
        <w:t>усеченный</w:t>
      </w:r>
      <w:proofErr w:type="gramEnd"/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Бухгольц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>» (без учета одного худшего результата, двух, и т. д.);</w:t>
      </w:r>
    </w:p>
    <w:p w:rsidR="00082E2B" w:rsidRDefault="007349E0" w:rsidP="0017400E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- по коэффициенту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Бухгольца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 xml:space="preserve"> (компьютерная версия), при круговом турнире коэффициент </w:t>
      </w:r>
      <w:proofErr w:type="spellStart"/>
      <w:r>
        <w:rPr>
          <w:rFonts w:ascii="Arial" w:eastAsia="Arial" w:hAnsi="Arial" w:cs="Arial"/>
          <w:color w:val="00000A"/>
          <w:sz w:val="24"/>
          <w:szCs w:val="24"/>
        </w:rPr>
        <w:t>Бергера</w:t>
      </w:r>
      <w:proofErr w:type="spellEnd"/>
      <w:r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VIII. Награждение и права победителей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Победители и призеры награждаются медалями, грамотами и памятными призами. 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IX. Решение спорных вопросов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Для решения спорных вопросов создается апелляционное жюри из 3 тренеров-представителей и 1 запасного тренера-представителя из разных улусов. Протесты принимаются в письменном виде не позднее 30 минут после окончания тура. Решение апелляционного жюри окончательно.</w:t>
      </w:r>
    </w:p>
    <w:p w:rsidR="00DB2139" w:rsidRDefault="007349E0">
      <w:pP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lastRenderedPageBreak/>
        <w:t xml:space="preserve">X. </w:t>
      </w:r>
      <w:proofErr w:type="spellStart"/>
      <w:r>
        <w:rPr>
          <w:rFonts w:ascii="Arial" w:eastAsia="Arial" w:hAnsi="Arial" w:cs="Arial"/>
          <w:b/>
          <w:color w:val="00000A"/>
          <w:sz w:val="24"/>
          <w:szCs w:val="24"/>
        </w:rPr>
        <w:t>Коронавирусный</w:t>
      </w:r>
      <w:proofErr w:type="spellEnd"/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 регламент</w:t>
      </w:r>
    </w:p>
    <w:p w:rsidR="00DB2139" w:rsidRDefault="007349E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 xml:space="preserve">Согласно </w:t>
      </w:r>
      <w:r>
        <w:rPr>
          <w:rFonts w:ascii="Arial" w:eastAsia="Arial" w:hAnsi="Arial" w:cs="Arial"/>
          <w:b/>
          <w:sz w:val="24"/>
          <w:szCs w:val="24"/>
        </w:rPr>
        <w:t>Регламента по организации и проведению официальных физкультурных и спортивных мероприятий на территории Республики Саха (Якутия) в условиях сохранения рисков распространения COVID-19</w:t>
      </w:r>
      <w:r>
        <w:rPr>
          <w:rFonts w:ascii="Arial" w:eastAsia="Arial" w:hAnsi="Arial" w:cs="Arial"/>
          <w:sz w:val="24"/>
          <w:szCs w:val="24"/>
        </w:rPr>
        <w:t xml:space="preserve">, согласованного с </w:t>
      </w:r>
      <w:proofErr w:type="spellStart"/>
      <w:r>
        <w:rPr>
          <w:rFonts w:ascii="Arial" w:eastAsia="Arial" w:hAnsi="Arial" w:cs="Arial"/>
          <w:sz w:val="24"/>
          <w:szCs w:val="24"/>
        </w:rPr>
        <w:t>Роспотребнадзором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РС (Я), утвержденного приказом Министерства по физической культуре и спорту РС (Я) от 20.02.2021 №64-ОД участники спортивных мероприятий </w:t>
      </w:r>
      <w:r>
        <w:rPr>
          <w:rFonts w:ascii="Arial" w:eastAsia="Arial" w:hAnsi="Arial" w:cs="Arial"/>
          <w:b/>
          <w:sz w:val="24"/>
          <w:szCs w:val="24"/>
        </w:rPr>
        <w:t>обязаны пройти тестирование</w:t>
      </w:r>
      <w:r>
        <w:rPr>
          <w:rFonts w:ascii="Arial" w:eastAsia="Arial" w:hAnsi="Arial" w:cs="Arial"/>
          <w:sz w:val="24"/>
          <w:szCs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  <w:szCs w:val="24"/>
        </w:rPr>
        <w:t>коронавирусную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инфекцию (COVID-19) </w:t>
      </w:r>
      <w:r>
        <w:rPr>
          <w:rFonts w:ascii="Arial" w:eastAsia="Arial" w:hAnsi="Arial" w:cs="Arial"/>
          <w:b/>
          <w:sz w:val="24"/>
          <w:szCs w:val="24"/>
        </w:rPr>
        <w:t xml:space="preserve">методом </w:t>
      </w:r>
      <w:r>
        <w:rPr>
          <w:rFonts w:ascii="Arial" w:eastAsia="Arial" w:hAnsi="Arial" w:cs="Arial"/>
          <w:sz w:val="24"/>
          <w:szCs w:val="24"/>
        </w:rPr>
        <w:t>полимеразной цепной реакции (ПЦР) не ранее 3 дней до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начала мероприятия и </w:t>
      </w:r>
      <w:proofErr w:type="gramStart"/>
      <w:r>
        <w:rPr>
          <w:rFonts w:ascii="Arial" w:eastAsia="Arial" w:hAnsi="Arial" w:cs="Arial"/>
          <w:sz w:val="24"/>
          <w:szCs w:val="24"/>
        </w:rPr>
        <w:t>предоставить справку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об отрицательном результате COVID-19.</w:t>
      </w:r>
    </w:p>
    <w:p w:rsidR="00DB2139" w:rsidRDefault="007349E0">
      <w:pPr>
        <w:spacing w:after="120"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В случае</w:t>
      </w:r>
      <w:proofErr w:type="gramStart"/>
      <w:r>
        <w:rPr>
          <w:rFonts w:ascii="Arial" w:eastAsia="Arial" w:hAnsi="Arial" w:cs="Arial"/>
          <w:sz w:val="24"/>
          <w:szCs w:val="24"/>
        </w:rPr>
        <w:t>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если участники турнира получили вакцину от </w:t>
      </w:r>
      <w:proofErr w:type="spellStart"/>
      <w:r>
        <w:rPr>
          <w:rFonts w:ascii="Arial" w:eastAsia="Arial" w:hAnsi="Arial" w:cs="Arial"/>
          <w:sz w:val="24"/>
          <w:szCs w:val="24"/>
        </w:rPr>
        <w:t>коронавирусной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инфекции, при предъявлении документа, подтверждающего вакцинацию против COVID-19 без предъявления справки.</w:t>
      </w:r>
    </w:p>
    <w:p w:rsidR="00DB2139" w:rsidRDefault="007349E0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XI. Заявки.</w:t>
      </w:r>
    </w:p>
    <w:p w:rsidR="00DB2139" w:rsidRDefault="007349E0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Заявки (подтверждение) в установленной форме об участии в соревнованиях подать  не позднее </w:t>
      </w:r>
      <w:r w:rsidR="00082E2B">
        <w:rPr>
          <w:rFonts w:ascii="Arial" w:eastAsia="Arial" w:hAnsi="Arial" w:cs="Arial"/>
          <w:color w:val="00000A"/>
          <w:sz w:val="24"/>
          <w:szCs w:val="24"/>
        </w:rPr>
        <w:t>_______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20</w:t>
      </w:r>
      <w:r w:rsidR="00082E2B">
        <w:rPr>
          <w:rFonts w:ascii="Arial" w:eastAsia="Arial" w:hAnsi="Arial" w:cs="Arial"/>
          <w:color w:val="00000A"/>
          <w:sz w:val="24"/>
          <w:szCs w:val="24"/>
        </w:rPr>
        <w:t>22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г. Представители команд представляют в мандатную комиссию следующие документы:</w:t>
      </w:r>
    </w:p>
    <w:p w:rsidR="00DB2139" w:rsidRDefault="007349E0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именная заявка (указывается фамилия, имя, год рождения, школа, класс, разряд, подпись врача), заверенная печатью и подписью начальника улусного управления образования (УУО), директора школы, с визой и печатью врача о допуске;</w:t>
      </w:r>
    </w:p>
    <w:p w:rsidR="00DB2139" w:rsidRDefault="007349E0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свидетельство о рождении;</w:t>
      </w:r>
    </w:p>
    <w:p w:rsidR="00DB2139" w:rsidRDefault="007349E0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приказ УУО о командировании на Первенство;</w:t>
      </w:r>
    </w:p>
    <w:p w:rsidR="00DB2139" w:rsidRDefault="007349E0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- медицинская справка на каждого участника;</w:t>
      </w:r>
    </w:p>
    <w:p w:rsidR="00DB2139" w:rsidRDefault="007349E0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 xml:space="preserve">Предварительные заявки направлять по электронному адресу: </w:t>
      </w:r>
      <w:hyperlink r:id="rId7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ganzhurov@mail.ru</w:t>
        </w:r>
      </w:hyperlink>
      <w:r>
        <w:rPr>
          <w:rFonts w:ascii="Arial" w:eastAsia="Arial" w:hAnsi="Arial" w:cs="Arial"/>
          <w:color w:val="00000A"/>
          <w:sz w:val="24"/>
          <w:szCs w:val="24"/>
        </w:rPr>
        <w:t>. При несвоевременном подтверждении участия в Первенстве проводящая организация ответственности не несет.</w:t>
      </w:r>
    </w:p>
    <w:p w:rsidR="00DB2139" w:rsidRDefault="00DB2139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DB2139" w:rsidRDefault="007349E0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Данное Положение является официальным вызовом на соревнование.</w:t>
      </w:r>
    </w:p>
    <w:p w:rsidR="00575446" w:rsidRDefault="00575446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</w:p>
    <w:p w:rsidR="00575446" w:rsidRDefault="00575446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Примечание: При ухудшении эпидемиологической ситуации и продлении ограничительных мер по недопущению распространения новой </w:t>
      </w:r>
      <w:proofErr w:type="spellStart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one" w:sz="0" w:space="0" w:color="auto" w:frame="1"/>
        </w:rPr>
        <w:t>коронавирусной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инфекции (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COVID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one" w:sz="0" w:space="0" w:color="auto" w:frame="1"/>
        </w:rPr>
        <w:t>-19) возможны изменение даты проведения первенства.</w:t>
      </w:r>
    </w:p>
    <w:p w:rsidR="00575446" w:rsidRDefault="00575446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17400E" w:rsidRDefault="0017400E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17400E" w:rsidRDefault="0017400E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17400E" w:rsidRDefault="0017400E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17400E" w:rsidRDefault="0017400E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17400E" w:rsidRDefault="0017400E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17400E" w:rsidRDefault="0017400E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40" w:lineRule="auto"/>
        <w:ind w:firstLine="709"/>
        <w:jc w:val="both"/>
        <w:rPr>
          <w:rFonts w:ascii="Arial" w:eastAsia="Arial" w:hAnsi="Arial" w:cs="Arial"/>
          <w:color w:val="00000A"/>
          <w:sz w:val="24"/>
          <w:szCs w:val="24"/>
        </w:rPr>
      </w:pPr>
      <w:bookmarkStart w:id="1" w:name="_GoBack"/>
      <w:bookmarkEnd w:id="1"/>
    </w:p>
    <w:p w:rsidR="00DB2139" w:rsidRDefault="007349E0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28" w:after="28"/>
        <w:jc w:val="center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36"/>
          <w:szCs w:val="36"/>
        </w:rPr>
        <w:lastRenderedPageBreak/>
        <w:t>Программа соревнований</w:t>
      </w:r>
    </w:p>
    <w:p w:rsidR="00DB2139" w:rsidRDefault="007349E0" w:rsidP="0057544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 </w:t>
      </w:r>
    </w:p>
    <w:tbl>
      <w:tblPr>
        <w:tblStyle w:val="af2"/>
        <w:tblW w:w="9570" w:type="dxa"/>
        <w:tblInd w:w="-192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643"/>
        <w:gridCol w:w="4213"/>
        <w:gridCol w:w="1714"/>
      </w:tblGrid>
      <w:tr w:rsidR="00DB2139">
        <w:trPr>
          <w:trHeight w:val="765"/>
        </w:trPr>
        <w:tc>
          <w:tcPr>
            <w:tcW w:w="36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before="28" w:after="28"/>
              <w:jc w:val="center"/>
              <w:rPr>
                <w:rFonts w:ascii="Arial" w:eastAsia="Arial" w:hAnsi="Arial" w:cs="Arial"/>
                <w:b/>
                <w:color w:val="00000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  <w:t>Дата</w:t>
            </w:r>
          </w:p>
        </w:tc>
        <w:tc>
          <w:tcPr>
            <w:tcW w:w="421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  <w:t>Туры, мероприятия</w:t>
            </w:r>
          </w:p>
        </w:tc>
        <w:tc>
          <w:tcPr>
            <w:tcW w:w="1714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139" w:rsidRDefault="007349E0">
            <w:pPr>
              <w:pStyle w:val="2"/>
              <w:ind w:left="0" w:firstLine="0"/>
              <w:jc w:val="center"/>
              <w:rPr>
                <w:i w:val="0"/>
              </w:rPr>
            </w:pPr>
            <w:r>
              <w:rPr>
                <w:i w:val="0"/>
                <w:sz w:val="24"/>
                <w:szCs w:val="24"/>
              </w:rPr>
              <w:t>Время</w:t>
            </w:r>
          </w:p>
          <w:p w:rsidR="00DB2139" w:rsidRDefault="00DB2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before="28" w:after="28"/>
              <w:jc w:val="center"/>
              <w:rPr>
                <w:rFonts w:ascii="Arial" w:eastAsia="Arial" w:hAnsi="Arial" w:cs="Arial"/>
                <w:b/>
                <w:color w:val="00000A"/>
                <w:sz w:val="24"/>
                <w:szCs w:val="24"/>
              </w:rPr>
            </w:pPr>
          </w:p>
        </w:tc>
      </w:tr>
      <w:tr w:rsidR="00DB2139">
        <w:trPr>
          <w:trHeight w:val="491"/>
        </w:trPr>
        <w:tc>
          <w:tcPr>
            <w:tcW w:w="36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139" w:rsidRDefault="00C0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both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 день</w:t>
            </w:r>
          </w:p>
        </w:tc>
        <w:tc>
          <w:tcPr>
            <w:tcW w:w="421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День приезда</w:t>
            </w:r>
          </w:p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Работа мандатной комиссии</w:t>
            </w:r>
          </w:p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Совещание судейской коллегии</w:t>
            </w:r>
          </w:p>
        </w:tc>
        <w:tc>
          <w:tcPr>
            <w:tcW w:w="171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139" w:rsidRDefault="00DB2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</w:p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14.00 - 17.00</w:t>
            </w:r>
          </w:p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17.00 - 18.00</w:t>
            </w:r>
          </w:p>
        </w:tc>
      </w:tr>
      <w:tr w:rsidR="00DB2139">
        <w:tc>
          <w:tcPr>
            <w:tcW w:w="36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139" w:rsidRDefault="00C0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both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2 день</w:t>
            </w:r>
          </w:p>
        </w:tc>
        <w:tc>
          <w:tcPr>
            <w:tcW w:w="421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I тур</w:t>
            </w:r>
          </w:p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II тур</w:t>
            </w:r>
          </w:p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III тур</w:t>
            </w:r>
          </w:p>
        </w:tc>
        <w:tc>
          <w:tcPr>
            <w:tcW w:w="171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15.00 - 15.50</w:t>
            </w:r>
          </w:p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16.00 - 16.50</w:t>
            </w:r>
          </w:p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17.00 - 17.50</w:t>
            </w:r>
          </w:p>
        </w:tc>
      </w:tr>
      <w:tr w:rsidR="00DB2139">
        <w:trPr>
          <w:trHeight w:val="628"/>
        </w:trPr>
        <w:tc>
          <w:tcPr>
            <w:tcW w:w="3643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2139" w:rsidRDefault="00C061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both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 xml:space="preserve">3 день </w:t>
            </w:r>
          </w:p>
        </w:tc>
        <w:tc>
          <w:tcPr>
            <w:tcW w:w="421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IV тур</w:t>
            </w:r>
          </w:p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V тур</w:t>
            </w:r>
          </w:p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VI тур</w:t>
            </w:r>
          </w:p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VII тур</w:t>
            </w:r>
          </w:p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VIII тур</w:t>
            </w:r>
          </w:p>
          <w:p w:rsidR="00DB2139" w:rsidRPr="007349E0" w:rsidRDefault="007349E0" w:rsidP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IX тур</w:t>
            </w:r>
          </w:p>
        </w:tc>
        <w:tc>
          <w:tcPr>
            <w:tcW w:w="171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09.00 - 09.50</w:t>
            </w:r>
          </w:p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10.00 - 10.50</w:t>
            </w:r>
          </w:p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11.00 - 11.50</w:t>
            </w:r>
          </w:p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14.00 - 14.50</w:t>
            </w:r>
          </w:p>
          <w:p w:rsidR="00DB2139" w:rsidRDefault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15.00 - 15.50</w:t>
            </w:r>
          </w:p>
          <w:p w:rsidR="00DB2139" w:rsidRDefault="007349E0" w:rsidP="00734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jc w:val="center"/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A"/>
                <w:sz w:val="20"/>
                <w:szCs w:val="20"/>
              </w:rPr>
              <w:t>16.00 - 16.50</w:t>
            </w:r>
          </w:p>
        </w:tc>
      </w:tr>
    </w:tbl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 </w:t>
      </w:r>
    </w:p>
    <w:p w:rsidR="00DB2139" w:rsidRDefault="007349E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0"/>
          <w:szCs w:val="20"/>
        </w:rPr>
        <w:t>Примечание:</w:t>
      </w:r>
      <w:r>
        <w:rPr>
          <w:rFonts w:ascii="Arial" w:eastAsia="Arial" w:hAnsi="Arial" w:cs="Arial"/>
          <w:b/>
          <w:i/>
          <w:color w:val="00000A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A"/>
          <w:sz w:val="20"/>
          <w:szCs w:val="20"/>
        </w:rPr>
        <w:t>В программу соревнований могут быть внесены изменения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.</w:t>
      </w:r>
    </w:p>
    <w:sectPr w:rsidR="00DB2139">
      <w:pgSz w:w="11906" w:h="16838"/>
      <w:pgMar w:top="567" w:right="850" w:bottom="539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A427D"/>
    <w:multiLevelType w:val="multilevel"/>
    <w:tmpl w:val="13B2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B2139"/>
    <w:rsid w:val="00082E2B"/>
    <w:rsid w:val="0017400E"/>
    <w:rsid w:val="00575446"/>
    <w:rsid w:val="007349E0"/>
    <w:rsid w:val="00C0616C"/>
    <w:rsid w:val="00CF6BC4"/>
    <w:rsid w:val="00DB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1"/>
    <w:pPr>
      <w:numPr>
        <w:ilvl w:val="1"/>
        <w:numId w:val="1"/>
      </w:numPr>
      <w:spacing w:before="28" w:after="28"/>
      <w:outlineLvl w:val="1"/>
    </w:pPr>
    <w:rPr>
      <w:b/>
      <w:bCs/>
      <w:i/>
      <w:iCs/>
      <w:sz w:val="36"/>
      <w:szCs w:val="36"/>
    </w:rPr>
  </w:style>
  <w:style w:type="paragraph" w:styleId="3">
    <w:name w:val="heading 3"/>
    <w:basedOn w:val="a0"/>
    <w:next w:val="a1"/>
    <w:pPr>
      <w:numPr>
        <w:ilvl w:val="2"/>
        <w:numId w:val="1"/>
      </w:numPr>
      <w:spacing w:before="28" w:after="28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1"/>
    <w:pPr>
      <w:numPr>
        <w:ilvl w:val="6"/>
        <w:numId w:val="1"/>
      </w:numPr>
      <w:spacing w:before="28" w:after="28"/>
      <w:outlineLvl w:val="6"/>
    </w:pPr>
    <w:rPr>
      <w:b/>
      <w:b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0"/>
    <w:pPr>
      <w:suppressLineNumbers/>
      <w:spacing w:before="120" w:after="120"/>
    </w:pPr>
    <w:rPr>
      <w:i/>
      <w:iCs/>
      <w:sz w:val="20"/>
    </w:rPr>
  </w:style>
  <w:style w:type="paragraph" w:customStyle="1" w:styleId="a0">
    <w:name w:val="Базовый"/>
    <w:pPr>
      <w:tabs>
        <w:tab w:val="left" w:pos="708"/>
      </w:tabs>
      <w:suppressAutoHyphens/>
    </w:pPr>
    <w:rPr>
      <w:rFonts w:ascii="Arial" w:eastAsia="SimSun" w:hAnsi="Arial" w:cs="Mangal"/>
      <w:color w:val="00000A"/>
      <w:sz w:val="24"/>
      <w:szCs w:val="24"/>
      <w:lang w:eastAsia="ja-JP" w:bidi="hi-IN"/>
    </w:rPr>
  </w:style>
  <w:style w:type="paragraph" w:customStyle="1" w:styleId="a6">
    <w:name w:val="Заголовок"/>
    <w:basedOn w:val="a0"/>
    <w:next w:val="a1"/>
    <w:pPr>
      <w:keepNext/>
      <w:spacing w:before="240" w:after="120"/>
    </w:pPr>
    <w:rPr>
      <w:rFonts w:eastAsia="Microsoft YaHei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7">
    <w:name w:val="List"/>
    <w:basedOn w:val="a1"/>
  </w:style>
  <w:style w:type="paragraph" w:styleId="a8">
    <w:name w:val="index heading"/>
    <w:basedOn w:val="a0"/>
    <w:pPr>
      <w:suppressLineNumbers/>
    </w:pPr>
  </w:style>
  <w:style w:type="paragraph" w:customStyle="1" w:styleId="a9">
    <w:name w:val="Заглавие"/>
    <w:basedOn w:val="a0"/>
    <w:next w:val="aa"/>
    <w:pPr>
      <w:keepNext/>
      <w:spacing w:before="240" w:after="120"/>
      <w:jc w:val="center"/>
    </w:pPr>
    <w:rPr>
      <w:rFonts w:eastAsia="Microsoft YaHei"/>
      <w:b/>
      <w:bCs/>
      <w:sz w:val="28"/>
      <w:szCs w:val="28"/>
    </w:rPr>
  </w:style>
  <w:style w:type="paragraph" w:styleId="aa">
    <w:name w:val="Subtitle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before="240" w:after="120"/>
      <w:jc w:val="center"/>
    </w:pPr>
    <w:rPr>
      <w:rFonts w:ascii="Arial" w:eastAsia="Arial" w:hAnsi="Arial" w:cs="Arial"/>
      <w:i/>
      <w:color w:val="00000A"/>
      <w:sz w:val="28"/>
      <w:szCs w:val="28"/>
    </w:rPr>
  </w:style>
  <w:style w:type="paragraph" w:styleId="ab">
    <w:name w:val="Normal (Web)"/>
    <w:basedOn w:val="a0"/>
    <w:pPr>
      <w:spacing w:before="28" w:after="28"/>
    </w:pPr>
  </w:style>
  <w:style w:type="paragraph" w:customStyle="1" w:styleId="ac">
    <w:name w:val="Содержимое таблицы"/>
    <w:basedOn w:val="a0"/>
    <w:pPr>
      <w:suppressLineNumbers/>
    </w:pPr>
  </w:style>
  <w:style w:type="table" w:styleId="ad">
    <w:name w:val="Table Grid"/>
    <w:basedOn w:val="a3"/>
    <w:uiPriority w:val="59"/>
    <w:rsid w:val="00E1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2"/>
    <w:uiPriority w:val="99"/>
    <w:unhideWhenUsed/>
    <w:rsid w:val="00DD05C0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1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A17315"/>
    <w:rPr>
      <w:rFonts w:ascii="Tahoma" w:hAnsi="Tahoma" w:cs="Tahoma"/>
      <w:sz w:val="16"/>
      <w:szCs w:val="16"/>
    </w:r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1"/>
    <w:pPr>
      <w:numPr>
        <w:ilvl w:val="1"/>
        <w:numId w:val="1"/>
      </w:numPr>
      <w:spacing w:before="28" w:after="28"/>
      <w:outlineLvl w:val="1"/>
    </w:pPr>
    <w:rPr>
      <w:b/>
      <w:bCs/>
      <w:i/>
      <w:iCs/>
      <w:sz w:val="36"/>
      <w:szCs w:val="36"/>
    </w:rPr>
  </w:style>
  <w:style w:type="paragraph" w:styleId="3">
    <w:name w:val="heading 3"/>
    <w:basedOn w:val="a0"/>
    <w:next w:val="a1"/>
    <w:pPr>
      <w:numPr>
        <w:ilvl w:val="2"/>
        <w:numId w:val="1"/>
      </w:numPr>
      <w:spacing w:before="28" w:after="28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1"/>
    <w:pPr>
      <w:numPr>
        <w:ilvl w:val="6"/>
        <w:numId w:val="1"/>
      </w:numPr>
      <w:spacing w:before="28" w:after="28"/>
      <w:outlineLvl w:val="6"/>
    </w:pPr>
    <w:rPr>
      <w:b/>
      <w:b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0"/>
    <w:pPr>
      <w:suppressLineNumbers/>
      <w:spacing w:before="120" w:after="120"/>
    </w:pPr>
    <w:rPr>
      <w:i/>
      <w:iCs/>
      <w:sz w:val="20"/>
    </w:rPr>
  </w:style>
  <w:style w:type="paragraph" w:customStyle="1" w:styleId="a0">
    <w:name w:val="Базовый"/>
    <w:pPr>
      <w:tabs>
        <w:tab w:val="left" w:pos="708"/>
      </w:tabs>
      <w:suppressAutoHyphens/>
    </w:pPr>
    <w:rPr>
      <w:rFonts w:ascii="Arial" w:eastAsia="SimSun" w:hAnsi="Arial" w:cs="Mangal"/>
      <w:color w:val="00000A"/>
      <w:sz w:val="24"/>
      <w:szCs w:val="24"/>
      <w:lang w:eastAsia="ja-JP" w:bidi="hi-IN"/>
    </w:rPr>
  </w:style>
  <w:style w:type="paragraph" w:customStyle="1" w:styleId="a6">
    <w:name w:val="Заголовок"/>
    <w:basedOn w:val="a0"/>
    <w:next w:val="a1"/>
    <w:pPr>
      <w:keepNext/>
      <w:spacing w:before="240" w:after="120"/>
    </w:pPr>
    <w:rPr>
      <w:rFonts w:eastAsia="Microsoft YaHei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7">
    <w:name w:val="List"/>
    <w:basedOn w:val="a1"/>
  </w:style>
  <w:style w:type="paragraph" w:styleId="a8">
    <w:name w:val="index heading"/>
    <w:basedOn w:val="a0"/>
    <w:pPr>
      <w:suppressLineNumbers/>
    </w:pPr>
  </w:style>
  <w:style w:type="paragraph" w:customStyle="1" w:styleId="a9">
    <w:name w:val="Заглавие"/>
    <w:basedOn w:val="a0"/>
    <w:next w:val="aa"/>
    <w:pPr>
      <w:keepNext/>
      <w:spacing w:before="240" w:after="120"/>
      <w:jc w:val="center"/>
    </w:pPr>
    <w:rPr>
      <w:rFonts w:eastAsia="Microsoft YaHei"/>
      <w:b/>
      <w:bCs/>
      <w:sz w:val="28"/>
      <w:szCs w:val="28"/>
    </w:rPr>
  </w:style>
  <w:style w:type="paragraph" w:styleId="aa">
    <w:name w:val="Subtitle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tabs>
        <w:tab w:val="left" w:pos="708"/>
      </w:tabs>
      <w:spacing w:before="240" w:after="120"/>
      <w:jc w:val="center"/>
    </w:pPr>
    <w:rPr>
      <w:rFonts w:ascii="Arial" w:eastAsia="Arial" w:hAnsi="Arial" w:cs="Arial"/>
      <w:i/>
      <w:color w:val="00000A"/>
      <w:sz w:val="28"/>
      <w:szCs w:val="28"/>
    </w:rPr>
  </w:style>
  <w:style w:type="paragraph" w:styleId="ab">
    <w:name w:val="Normal (Web)"/>
    <w:basedOn w:val="a0"/>
    <w:pPr>
      <w:spacing w:before="28" w:after="28"/>
    </w:pPr>
  </w:style>
  <w:style w:type="paragraph" w:customStyle="1" w:styleId="ac">
    <w:name w:val="Содержимое таблицы"/>
    <w:basedOn w:val="a0"/>
    <w:pPr>
      <w:suppressLineNumbers/>
    </w:pPr>
  </w:style>
  <w:style w:type="table" w:styleId="ad">
    <w:name w:val="Table Grid"/>
    <w:basedOn w:val="a3"/>
    <w:uiPriority w:val="59"/>
    <w:rsid w:val="00E1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2"/>
    <w:uiPriority w:val="99"/>
    <w:unhideWhenUsed/>
    <w:rsid w:val="00DD05C0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17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A17315"/>
    <w:rPr>
      <w:rFonts w:ascii="Tahoma" w:hAnsi="Tahoma" w:cs="Tahoma"/>
      <w:sz w:val="16"/>
      <w:szCs w:val="16"/>
    </w:r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nzhur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jHz/kcyDWruny+bIhjCWl9bCaQ==">AMUW2mVH/qmscBWvPHsIzoq4mqOy+dFo/eSznvT1PtWoaO52dYF3UL7eaXvBeKlnm8ok3JewRxxu8ctor3hBmy+HnSSoLnfORop2ZN7Bl/72/5t26mJEwrd9Vj5IkG9aFjkv0Ak3MtsK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конфернцзал</dc:creator>
  <cp:lastModifiedBy>dir2</cp:lastModifiedBy>
  <cp:revision>7</cp:revision>
  <dcterms:created xsi:type="dcterms:W3CDTF">2018-08-21T02:39:00Z</dcterms:created>
  <dcterms:modified xsi:type="dcterms:W3CDTF">2022-03-02T00:53:00Z</dcterms:modified>
</cp:coreProperties>
</file>